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0F" w:rsidRDefault="00E8500F" w:rsidP="00E8500F">
      <w:pPr>
        <w:pStyle w:val="1"/>
        <w:rPr>
          <w:rFonts w:cs="Tahoma"/>
          <w:spacing w:val="-2"/>
          <w:lang w:val="en-US"/>
        </w:rPr>
      </w:pPr>
      <w:r>
        <w:rPr>
          <w:rFonts w:cs="Tahoma"/>
          <w:spacing w:val="-2"/>
          <w:lang w:val="en-US"/>
        </w:rPr>
        <w:t xml:space="preserve">Competence of the General Director </w:t>
      </w:r>
    </w:p>
    <w:p w:rsidR="00E8500F" w:rsidRPr="0035572A" w:rsidRDefault="00E8500F" w:rsidP="00E8500F">
      <w:pPr>
        <w:pStyle w:val="1"/>
        <w:rPr>
          <w:rFonts w:cs="Tahoma"/>
          <w:spacing w:val="-2"/>
          <w:lang w:val="en-US"/>
        </w:rPr>
      </w:pPr>
      <w:r>
        <w:rPr>
          <w:rFonts w:cs="Tahoma"/>
          <w:spacing w:val="-2"/>
          <w:lang w:val="en-US"/>
        </w:rPr>
        <w:t>of Rosseti North-West, PJSC</w:t>
      </w:r>
    </w:p>
    <w:p w:rsidR="00E8500F" w:rsidRPr="0035572A" w:rsidRDefault="00E8500F" w:rsidP="00E8500F">
      <w:pPr>
        <w:pStyle w:val="1"/>
        <w:rPr>
          <w:rFonts w:cs="Tahoma"/>
          <w:b w:val="0"/>
          <w:spacing w:val="-2"/>
          <w:lang w:val="en-US"/>
        </w:rPr>
      </w:pPr>
    </w:p>
    <w:p w:rsidR="00E8500F" w:rsidRPr="002A2772" w:rsidRDefault="00E8500F" w:rsidP="002A2772">
      <w:pPr>
        <w:pStyle w:val="1"/>
        <w:rPr>
          <w:rFonts w:cs="Tahoma"/>
          <w:b w:val="0"/>
          <w:spacing w:val="-2"/>
          <w:lang w:val="en-US"/>
        </w:rPr>
      </w:pPr>
      <w:r>
        <w:rPr>
          <w:rFonts w:cs="Tahoma"/>
          <w:b w:val="0"/>
          <w:spacing w:val="-2"/>
          <w:lang w:val="en-US"/>
        </w:rPr>
        <w:t>pursuant to Clause 23.2, 23.3</w:t>
      </w:r>
      <w:r w:rsidRPr="0035572A">
        <w:rPr>
          <w:rFonts w:cs="Tahoma"/>
          <w:b w:val="0"/>
          <w:spacing w:val="-2"/>
          <w:lang w:val="en-US"/>
        </w:rPr>
        <w:t xml:space="preserve"> </w:t>
      </w:r>
      <w:r>
        <w:rPr>
          <w:rFonts w:cs="Tahoma"/>
          <w:b w:val="0"/>
          <w:spacing w:val="-2"/>
          <w:lang w:val="en-US"/>
        </w:rPr>
        <w:t>Article 23</w:t>
      </w:r>
      <w:r w:rsidRPr="0035572A">
        <w:rPr>
          <w:rFonts w:cs="Tahoma"/>
          <w:b w:val="0"/>
          <w:spacing w:val="-2"/>
          <w:lang w:val="en-US"/>
        </w:rPr>
        <w:t xml:space="preserve"> </w:t>
      </w:r>
      <w:r>
        <w:rPr>
          <w:rFonts w:cs="Tahoma"/>
          <w:b w:val="0"/>
          <w:spacing w:val="-2"/>
          <w:lang w:val="en-US"/>
        </w:rPr>
        <w:t>of the Article</w:t>
      </w:r>
      <w:r w:rsidR="002A2772">
        <w:rPr>
          <w:rFonts w:cs="Tahoma"/>
          <w:b w:val="0"/>
          <w:spacing w:val="-2"/>
          <w:lang w:val="en-US"/>
        </w:rPr>
        <w:t>s of Association of the Company</w:t>
      </w:r>
      <w:r w:rsidR="002A2772">
        <w:rPr>
          <w:rFonts w:cs="Tahoma"/>
          <w:b w:val="0"/>
          <w:spacing w:val="-2"/>
          <w:lang w:val="en-US"/>
        </w:rPr>
        <w:br/>
      </w:r>
      <w:bookmarkStart w:id="0" w:name="_GoBack"/>
      <w:bookmarkEnd w:id="0"/>
      <w:r w:rsidRPr="0035572A">
        <w:rPr>
          <w:rFonts w:cs="Tahoma"/>
          <w:b w:val="0"/>
          <w:szCs w:val="22"/>
          <w:lang w:val="en-US"/>
        </w:rPr>
        <w:t>(</w:t>
      </w:r>
      <w:r>
        <w:rPr>
          <w:rFonts w:cs="Tahoma"/>
          <w:b w:val="0"/>
          <w:szCs w:val="22"/>
          <w:lang w:val="en-US"/>
        </w:rPr>
        <w:t xml:space="preserve">as approved by the Annual General Shareholders Meeting </w:t>
      </w:r>
      <w:r w:rsidRPr="0035572A">
        <w:rPr>
          <w:rFonts w:cs="Tahoma"/>
          <w:b w:val="0"/>
          <w:spacing w:val="-2"/>
          <w:lang w:val="en-US"/>
        </w:rPr>
        <w:t>of</w:t>
      </w:r>
      <w:r>
        <w:rPr>
          <w:rFonts w:cs="Tahoma"/>
          <w:b w:val="0"/>
          <w:spacing w:val="-2"/>
          <w:lang w:val="en-US"/>
        </w:rPr>
        <w:t xml:space="preserve"> </w:t>
      </w:r>
      <w:r w:rsidR="002A2772" w:rsidRPr="002A2772">
        <w:rPr>
          <w:rFonts w:cs="Tahoma"/>
          <w:b w:val="0"/>
          <w:spacing w:val="-2"/>
          <w:lang w:val="en-US"/>
        </w:rPr>
        <w:t>the Company</w:t>
      </w:r>
    </w:p>
    <w:p w:rsidR="00E8500F" w:rsidRDefault="00E8500F" w:rsidP="00E8500F">
      <w:pPr>
        <w:pStyle w:val="1"/>
        <w:rPr>
          <w:rFonts w:cs="Tahoma"/>
          <w:b w:val="0"/>
          <w:szCs w:val="22"/>
          <w:lang w:val="en-US"/>
        </w:rPr>
      </w:pPr>
      <w:r>
        <w:rPr>
          <w:rFonts w:cs="Tahoma"/>
          <w:b w:val="0"/>
          <w:szCs w:val="22"/>
          <w:lang w:val="en-US"/>
        </w:rPr>
        <w:t xml:space="preserve"> dated 28</w:t>
      </w:r>
      <w:r w:rsidRPr="0035572A">
        <w:rPr>
          <w:rFonts w:cs="Tahoma"/>
          <w:b w:val="0"/>
          <w:szCs w:val="22"/>
          <w:lang w:val="en-US"/>
        </w:rPr>
        <w:t>.0</w:t>
      </w:r>
      <w:r>
        <w:rPr>
          <w:rFonts w:cs="Tahoma"/>
          <w:b w:val="0"/>
          <w:szCs w:val="22"/>
          <w:lang w:val="en-US"/>
        </w:rPr>
        <w:t>5</w:t>
      </w:r>
      <w:r w:rsidRPr="0035572A">
        <w:rPr>
          <w:rFonts w:cs="Tahoma"/>
          <w:b w:val="0"/>
          <w:szCs w:val="22"/>
          <w:lang w:val="en-US"/>
        </w:rPr>
        <w:t>.20</w:t>
      </w:r>
      <w:r>
        <w:rPr>
          <w:rFonts w:cs="Tahoma"/>
          <w:b w:val="0"/>
          <w:szCs w:val="22"/>
          <w:lang w:val="en-US"/>
        </w:rPr>
        <w:t>21</w:t>
      </w:r>
      <w:r w:rsidRPr="0035572A">
        <w:rPr>
          <w:rFonts w:cs="Tahoma"/>
          <w:b w:val="0"/>
          <w:szCs w:val="22"/>
          <w:lang w:val="en-US"/>
        </w:rPr>
        <w:t xml:space="preserve"> (</w:t>
      </w:r>
      <w:r>
        <w:rPr>
          <w:rFonts w:cs="Tahoma"/>
          <w:b w:val="0"/>
          <w:szCs w:val="22"/>
          <w:lang w:val="en-US"/>
        </w:rPr>
        <w:t>Minutes No. 17</w:t>
      </w:r>
      <w:r w:rsidRPr="0035572A">
        <w:rPr>
          <w:rFonts w:cs="Tahoma"/>
          <w:b w:val="0"/>
          <w:szCs w:val="22"/>
          <w:lang w:val="en-US"/>
        </w:rPr>
        <w:t>)</w:t>
      </w:r>
      <w:r>
        <w:rPr>
          <w:rFonts w:cs="Tahoma"/>
          <w:b w:val="0"/>
          <w:szCs w:val="22"/>
          <w:lang w:val="en-US"/>
        </w:rPr>
        <w:t>)</w:t>
      </w:r>
    </w:p>
    <w:p w:rsidR="00E8500F" w:rsidRPr="00E8500F" w:rsidRDefault="00E8500F" w:rsidP="00E8500F">
      <w:pPr>
        <w:rPr>
          <w:sz w:val="12"/>
          <w:szCs w:val="12"/>
          <w:lang w:val="en-US" w:eastAsia="ru-RU"/>
        </w:rPr>
      </w:pPr>
    </w:p>
    <w:p w:rsidR="00E8500F" w:rsidRPr="00E8500F" w:rsidRDefault="00E8500F" w:rsidP="00E8500F">
      <w:pPr>
        <w:widowControl w:val="0"/>
        <w:tabs>
          <w:tab w:val="left" w:pos="1134"/>
        </w:tabs>
        <w:spacing w:after="0" w:line="247" w:lineRule="auto"/>
        <w:ind w:firstLine="567"/>
        <w:jc w:val="both"/>
        <w:rPr>
          <w:rFonts w:ascii="Tahoma" w:eastAsia="Times New Roman" w:hAnsi="Tahoma" w:cs="Tahoma"/>
          <w:szCs w:val="24"/>
          <w:lang w:val="en-US" w:eastAsia="ru-RU"/>
        </w:rPr>
      </w:pPr>
      <w:r w:rsidRPr="00E8500F">
        <w:rPr>
          <w:rFonts w:ascii="Tahoma" w:eastAsia="Times New Roman" w:hAnsi="Tahoma" w:cs="Tahoma"/>
          <w:szCs w:val="24"/>
          <w:lang w:val="en-US" w:eastAsia="ru-RU" w:bidi="en-US"/>
        </w:rPr>
        <w:t>23.2.</w:t>
      </w:r>
      <w:r w:rsidRPr="00E8500F">
        <w:rPr>
          <w:rFonts w:ascii="Tahoma" w:eastAsia="Times New Roman" w:hAnsi="Tahoma" w:cs="Tahoma"/>
          <w:szCs w:val="24"/>
          <w:lang w:val="en-US" w:eastAsia="ru-RU" w:bidi="en-US"/>
        </w:rPr>
        <w:tab/>
        <w:t>The competence of the General Director shall include all of the issues of the Company’s current activities management, except for the is</w:t>
      </w:r>
      <w:r w:rsidR="005B3654">
        <w:rPr>
          <w:rFonts w:ascii="Tahoma" w:eastAsia="Times New Roman" w:hAnsi="Tahoma" w:cs="Tahoma"/>
          <w:szCs w:val="24"/>
          <w:lang w:val="en-US" w:eastAsia="ru-RU" w:bidi="en-US"/>
        </w:rPr>
        <w:t>sues referred to the competence</w:t>
      </w:r>
      <w:r w:rsidR="005B3654">
        <w:rPr>
          <w:rFonts w:ascii="Tahoma" w:eastAsia="Times New Roman" w:hAnsi="Tahoma" w:cs="Tahoma"/>
          <w:szCs w:val="24"/>
          <w:lang w:val="en-US" w:eastAsia="ru-RU" w:bidi="en-US"/>
        </w:rPr>
        <w:br/>
      </w:r>
      <w:r w:rsidRPr="00E8500F">
        <w:rPr>
          <w:rFonts w:ascii="Tahoma" w:eastAsia="Times New Roman" w:hAnsi="Tahoma" w:cs="Tahoma"/>
          <w:szCs w:val="24"/>
          <w:lang w:val="en-US" w:eastAsia="ru-RU" w:bidi="en-US"/>
        </w:rPr>
        <w:t>of the General Meeting of Shareholders or the Board of Direc</w:t>
      </w:r>
      <w:r w:rsidR="005B3654">
        <w:rPr>
          <w:rFonts w:ascii="Tahoma" w:eastAsia="Times New Roman" w:hAnsi="Tahoma" w:cs="Tahoma"/>
          <w:szCs w:val="24"/>
          <w:lang w:val="en-US" w:eastAsia="ru-RU" w:bidi="en-US"/>
        </w:rPr>
        <w:t>tors, and the Management Board</w:t>
      </w:r>
      <w:r w:rsidR="005B3654">
        <w:rPr>
          <w:rFonts w:ascii="Tahoma" w:eastAsia="Times New Roman" w:hAnsi="Tahoma" w:cs="Tahoma"/>
          <w:szCs w:val="24"/>
          <w:lang w:val="en-US" w:eastAsia="ru-RU" w:bidi="en-US"/>
        </w:rPr>
        <w:br/>
      </w:r>
      <w:r w:rsidRPr="00E8500F">
        <w:rPr>
          <w:rFonts w:ascii="Tahoma" w:eastAsia="Times New Roman" w:hAnsi="Tahoma" w:cs="Tahoma"/>
          <w:szCs w:val="24"/>
          <w:lang w:val="en-US" w:eastAsia="ru-RU" w:bidi="en-US"/>
        </w:rPr>
        <w:t>of the Company.</w:t>
      </w:r>
    </w:p>
    <w:p w:rsidR="00E8500F" w:rsidRPr="00E8500F" w:rsidRDefault="00E8500F" w:rsidP="00E8500F">
      <w:pPr>
        <w:widowControl w:val="0"/>
        <w:tabs>
          <w:tab w:val="left" w:pos="1134"/>
        </w:tabs>
        <w:spacing w:after="0" w:line="247" w:lineRule="auto"/>
        <w:ind w:firstLine="567"/>
        <w:jc w:val="both"/>
        <w:rPr>
          <w:rFonts w:ascii="Tahoma" w:eastAsia="Times New Roman" w:hAnsi="Tahoma" w:cs="Tahoma"/>
          <w:szCs w:val="24"/>
          <w:lang w:val="en-US" w:eastAsia="ru-RU"/>
        </w:rPr>
      </w:pPr>
      <w:r w:rsidRPr="00E8500F">
        <w:rPr>
          <w:rFonts w:ascii="Tahoma" w:eastAsia="Times New Roman" w:hAnsi="Tahoma" w:cs="Tahoma"/>
          <w:szCs w:val="24"/>
          <w:lang w:val="en-US" w:eastAsia="ru-RU" w:bidi="en-US"/>
        </w:rPr>
        <w:t>23.3. The Company’s General Director shall act without a power of attorney on behalf of the Company taking into account the limitations envisaged by the Russian Federation laws, these Articles of Association and the decisions of the Company’s Board of Directors. The Company’s General Director shall</w:t>
      </w:r>
    </w:p>
    <w:p w:rsidR="00E8500F" w:rsidRPr="00E8500F" w:rsidRDefault="00E8500F" w:rsidP="00E8500F">
      <w:pPr>
        <w:widowControl w:val="0"/>
        <w:numPr>
          <w:ilvl w:val="0"/>
          <w:numId w:val="1"/>
        </w:numPr>
        <w:tabs>
          <w:tab w:val="num" w:pos="851"/>
        </w:tabs>
        <w:spacing w:after="0" w:line="247" w:lineRule="auto"/>
        <w:ind w:firstLine="567"/>
        <w:jc w:val="both"/>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ensure fulfillment of the Company activity plans which are necessary for solution of his/her tasks;</w:t>
      </w:r>
    </w:p>
    <w:p w:rsidR="00E8500F" w:rsidRPr="00E8500F" w:rsidRDefault="00E8500F" w:rsidP="00E8500F">
      <w:pPr>
        <w:widowControl w:val="0"/>
        <w:numPr>
          <w:ilvl w:val="0"/>
          <w:numId w:val="2"/>
        </w:numPr>
        <w:spacing w:after="0" w:line="247" w:lineRule="auto"/>
        <w:jc w:val="both"/>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organize business and tax accounting in the Company, management and keeping of accounting records;</w:t>
      </w:r>
    </w:p>
    <w:p w:rsidR="00E8500F" w:rsidRPr="00E8500F" w:rsidRDefault="00E8500F" w:rsidP="00E8500F">
      <w:pPr>
        <w:widowControl w:val="0"/>
        <w:numPr>
          <w:ilvl w:val="0"/>
          <w:numId w:val="1"/>
        </w:numPr>
        <w:tabs>
          <w:tab w:val="num" w:pos="851"/>
        </w:tabs>
        <w:spacing w:after="0" w:line="247" w:lineRule="auto"/>
        <w:ind w:firstLine="567"/>
        <w:jc w:val="both"/>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make use of the Company’s property and accomplish transactions on behalf of the Company, issue powers of attorney, open settlement and other accounts of the Company with the banks and other credit institutions as well as in the entities and professional agents of the securities market in cases envisaged by the law;</w:t>
      </w:r>
    </w:p>
    <w:p w:rsidR="00E8500F" w:rsidRPr="00E8500F" w:rsidRDefault="00E8500F" w:rsidP="00E8500F">
      <w:pPr>
        <w:widowControl w:val="0"/>
        <w:numPr>
          <w:ilvl w:val="0"/>
          <w:numId w:val="2"/>
        </w:numPr>
        <w:tabs>
          <w:tab w:val="num" w:pos="851"/>
        </w:tabs>
        <w:spacing w:after="0" w:line="247" w:lineRule="auto"/>
        <w:ind w:firstLine="567"/>
        <w:jc w:val="both"/>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issue orders, approve (accept) instructions, local normative enactments and other internal documents of the Company on the issues of his/her competence, give in</w:t>
      </w:r>
      <w:r w:rsidR="00EF1B79">
        <w:rPr>
          <w:rFonts w:ascii="Tahoma" w:eastAsia="Times New Roman" w:hAnsi="Tahoma" w:cs="Tahoma"/>
          <w:snapToGrid w:val="0"/>
          <w:szCs w:val="24"/>
          <w:lang w:val="en-US" w:eastAsia="ru-RU" w:bidi="en-US"/>
        </w:rPr>
        <w:t>structions obligatory</w:t>
      </w:r>
      <w:r w:rsidR="00EF1B79">
        <w:rPr>
          <w:rFonts w:ascii="Tahoma" w:eastAsia="Times New Roman" w:hAnsi="Tahoma" w:cs="Tahoma"/>
          <w:snapToGrid w:val="0"/>
          <w:szCs w:val="24"/>
          <w:lang w:val="en-US" w:eastAsia="ru-RU" w:bidi="en-US"/>
        </w:rPr>
        <w:br/>
      </w:r>
      <w:r w:rsidRPr="00E8500F">
        <w:rPr>
          <w:rFonts w:ascii="Tahoma" w:eastAsia="Times New Roman" w:hAnsi="Tahoma" w:cs="Tahoma"/>
          <w:snapToGrid w:val="0"/>
          <w:szCs w:val="24"/>
          <w:lang w:val="en-US" w:eastAsia="ru-RU" w:bidi="en-US"/>
        </w:rPr>
        <w:t>for execution by all employees of the Company;</w:t>
      </w:r>
    </w:p>
    <w:p w:rsidR="00E8500F" w:rsidRPr="00E8500F" w:rsidRDefault="00E8500F" w:rsidP="00E8500F">
      <w:pPr>
        <w:widowControl w:val="0"/>
        <w:numPr>
          <w:ilvl w:val="0"/>
          <w:numId w:val="2"/>
        </w:numPr>
        <w:tabs>
          <w:tab w:val="num" w:pos="851"/>
        </w:tabs>
        <w:spacing w:after="0" w:line="247" w:lineRule="auto"/>
        <w:ind w:firstLine="567"/>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approve Regulations on branches and representative offices of the Company;</w:t>
      </w:r>
    </w:p>
    <w:p w:rsidR="00E8500F" w:rsidRPr="00E8500F" w:rsidRDefault="00E8500F" w:rsidP="00E8500F">
      <w:pPr>
        <w:widowControl w:val="0"/>
        <w:numPr>
          <w:ilvl w:val="0"/>
          <w:numId w:val="1"/>
        </w:numPr>
        <w:tabs>
          <w:tab w:val="num" w:pos="851"/>
        </w:tabs>
        <w:spacing w:after="0" w:line="247" w:lineRule="auto"/>
        <w:ind w:firstLine="567"/>
        <w:jc w:val="both"/>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in accordance with the organizational structure of the Company’s executive body, approve personnel arrangements and official salaries and wages of the Company’s employees;</w:t>
      </w:r>
    </w:p>
    <w:p w:rsidR="00E8500F" w:rsidRPr="00E8500F" w:rsidRDefault="00E8500F" w:rsidP="00E8500F">
      <w:pPr>
        <w:widowControl w:val="0"/>
        <w:numPr>
          <w:ilvl w:val="0"/>
          <w:numId w:val="1"/>
        </w:numPr>
        <w:tabs>
          <w:tab w:val="num" w:pos="851"/>
        </w:tabs>
        <w:spacing w:after="0" w:line="247" w:lineRule="auto"/>
        <w:ind w:firstLine="567"/>
        <w:jc w:val="both"/>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exercise in respect of the Company’s employees the rights and obligations of the employer, envisaged by the labor law;</w:t>
      </w:r>
    </w:p>
    <w:p w:rsidR="00E8500F" w:rsidRPr="00E8500F" w:rsidRDefault="00E8500F" w:rsidP="00E8500F">
      <w:pPr>
        <w:widowControl w:val="0"/>
        <w:numPr>
          <w:ilvl w:val="0"/>
          <w:numId w:val="1"/>
        </w:numPr>
        <w:tabs>
          <w:tab w:val="num" w:pos="851"/>
        </w:tabs>
        <w:spacing w:after="0" w:line="247" w:lineRule="auto"/>
        <w:ind w:firstLine="567"/>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perform powers of the Chairman of the Company’s Management Board;</w:t>
      </w:r>
    </w:p>
    <w:p w:rsidR="00E8500F" w:rsidRPr="00E8500F" w:rsidRDefault="00E8500F" w:rsidP="00E8500F">
      <w:pPr>
        <w:widowControl w:val="0"/>
        <w:numPr>
          <w:ilvl w:val="0"/>
          <w:numId w:val="1"/>
        </w:numPr>
        <w:tabs>
          <w:tab w:val="num" w:pos="851"/>
        </w:tabs>
        <w:spacing w:after="0" w:line="247" w:lineRule="auto"/>
        <w:ind w:firstLine="567"/>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distribute duties among the Deputies of the Director General;</w:t>
      </w:r>
    </w:p>
    <w:p w:rsidR="00E8500F" w:rsidRPr="00E8500F" w:rsidRDefault="00E8500F" w:rsidP="00E8500F">
      <w:pPr>
        <w:widowControl w:val="0"/>
        <w:numPr>
          <w:ilvl w:val="0"/>
          <w:numId w:val="1"/>
        </w:numPr>
        <w:tabs>
          <w:tab w:val="num" w:pos="851"/>
        </w:tabs>
        <w:spacing w:after="0" w:line="247" w:lineRule="auto"/>
        <w:ind w:firstLine="567"/>
        <w:jc w:val="both"/>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 xml:space="preserve"> make a decision on admission (denial of admission), or termination of admission for the Company officials (employees) to working with information const</w:t>
      </w:r>
      <w:r w:rsidR="00EF1B79">
        <w:rPr>
          <w:rFonts w:ascii="Tahoma" w:eastAsia="Times New Roman" w:hAnsi="Tahoma" w:cs="Tahoma"/>
          <w:snapToGrid w:val="0"/>
          <w:szCs w:val="24"/>
          <w:lang w:val="en-US" w:eastAsia="ru-RU" w:bidi="en-US"/>
        </w:rPr>
        <w:t>ituting a state secret, as well</w:t>
      </w:r>
      <w:r w:rsidR="00EF1B79">
        <w:rPr>
          <w:rFonts w:ascii="Tahoma" w:eastAsia="Times New Roman" w:hAnsi="Tahoma" w:cs="Tahoma"/>
          <w:snapToGrid w:val="0"/>
          <w:szCs w:val="24"/>
          <w:lang w:val="en-US" w:eastAsia="ru-RU" w:bidi="en-US"/>
        </w:rPr>
        <w:br/>
      </w:r>
      <w:r w:rsidRPr="00E8500F">
        <w:rPr>
          <w:rFonts w:ascii="Tahoma" w:eastAsia="Times New Roman" w:hAnsi="Tahoma" w:cs="Tahoma"/>
          <w:snapToGrid w:val="0"/>
          <w:szCs w:val="24"/>
          <w:lang w:val="en-US" w:eastAsia="ru-RU" w:bidi="en-US"/>
        </w:rPr>
        <w:t>as on the conditions for concluding the contracts for admission;</w:t>
      </w:r>
    </w:p>
    <w:p w:rsidR="00E8500F" w:rsidRPr="00E8500F" w:rsidRDefault="00E8500F" w:rsidP="00E8500F">
      <w:pPr>
        <w:widowControl w:val="0"/>
        <w:numPr>
          <w:ilvl w:val="0"/>
          <w:numId w:val="2"/>
        </w:numPr>
        <w:tabs>
          <w:tab w:val="num" w:pos="851"/>
        </w:tabs>
        <w:spacing w:after="0" w:line="247" w:lineRule="auto"/>
        <w:ind w:firstLine="567"/>
        <w:jc w:val="both"/>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no later than 45 (forty-five) days prior to holding of the Company’s annual General Meeting of Shareholders, submit for the consideration of the Company’s Board of Directors the annual report, annual accounting (financial) reports and the Company’s profit and loss distribution;</w:t>
      </w:r>
    </w:p>
    <w:p w:rsidR="00E8500F" w:rsidRDefault="00E8500F" w:rsidP="00E8500F">
      <w:pPr>
        <w:widowControl w:val="0"/>
        <w:numPr>
          <w:ilvl w:val="0"/>
          <w:numId w:val="2"/>
        </w:numPr>
        <w:tabs>
          <w:tab w:val="num" w:pos="851"/>
        </w:tabs>
        <w:spacing w:after="0" w:line="247" w:lineRule="auto"/>
        <w:ind w:firstLine="567"/>
        <w:jc w:val="both"/>
        <w:rPr>
          <w:rFonts w:ascii="Tahoma" w:eastAsia="Times New Roman" w:hAnsi="Tahoma" w:cs="Tahoma"/>
          <w:snapToGrid w:val="0"/>
          <w:szCs w:val="24"/>
          <w:lang w:val="en-US" w:eastAsia="ru-RU"/>
        </w:rPr>
      </w:pPr>
      <w:r w:rsidRPr="00E8500F">
        <w:rPr>
          <w:rFonts w:ascii="Tahoma" w:eastAsia="Times New Roman" w:hAnsi="Tahoma" w:cs="Tahoma"/>
          <w:snapToGrid w:val="0"/>
          <w:szCs w:val="24"/>
          <w:lang w:val="en-US" w:eastAsia="ru-RU" w:bidi="en-US"/>
        </w:rPr>
        <w:t>solve other issues of the Company’s current activities, except for the issues referred to the competence of the Company’s General Meeting of Share</w:t>
      </w:r>
      <w:r w:rsidR="00EF1B79">
        <w:rPr>
          <w:rFonts w:ascii="Tahoma" w:eastAsia="Times New Roman" w:hAnsi="Tahoma" w:cs="Tahoma"/>
          <w:snapToGrid w:val="0"/>
          <w:szCs w:val="24"/>
          <w:lang w:val="en-US" w:eastAsia="ru-RU" w:bidi="en-US"/>
        </w:rPr>
        <w:t>holders and the Company’s Board</w:t>
      </w:r>
      <w:r w:rsidR="00EF1B79">
        <w:rPr>
          <w:rFonts w:ascii="Tahoma" w:eastAsia="Times New Roman" w:hAnsi="Tahoma" w:cs="Tahoma"/>
          <w:snapToGrid w:val="0"/>
          <w:szCs w:val="24"/>
          <w:lang w:val="en-US" w:eastAsia="ru-RU" w:bidi="en-US"/>
        </w:rPr>
        <w:br/>
      </w:r>
      <w:r w:rsidRPr="00E8500F">
        <w:rPr>
          <w:rFonts w:ascii="Tahoma" w:eastAsia="Times New Roman" w:hAnsi="Tahoma" w:cs="Tahoma"/>
          <w:snapToGrid w:val="0"/>
          <w:szCs w:val="24"/>
          <w:lang w:val="en-US" w:eastAsia="ru-RU" w:bidi="en-US"/>
        </w:rPr>
        <w:t>of Directors.</w:t>
      </w:r>
    </w:p>
    <w:p w:rsidR="00E8500F" w:rsidRDefault="00E8500F" w:rsidP="00E8500F">
      <w:pPr>
        <w:widowControl w:val="0"/>
        <w:spacing w:after="0" w:line="247" w:lineRule="auto"/>
        <w:jc w:val="both"/>
        <w:rPr>
          <w:rFonts w:ascii="Tahoma" w:eastAsia="Times New Roman" w:hAnsi="Tahoma" w:cs="Tahoma"/>
          <w:snapToGrid w:val="0"/>
          <w:szCs w:val="24"/>
          <w:lang w:val="en-US" w:eastAsia="ru-RU" w:bidi="en-US"/>
        </w:rPr>
      </w:pPr>
    </w:p>
    <w:p w:rsidR="00E8500F" w:rsidRDefault="00E8500F" w:rsidP="00E8500F">
      <w:pPr>
        <w:widowControl w:val="0"/>
        <w:spacing w:after="0" w:line="247" w:lineRule="auto"/>
        <w:jc w:val="both"/>
        <w:rPr>
          <w:rFonts w:ascii="Tahoma" w:eastAsia="Times New Roman" w:hAnsi="Tahoma" w:cs="Tahoma"/>
          <w:snapToGrid w:val="0"/>
          <w:szCs w:val="24"/>
          <w:lang w:val="en-US" w:eastAsia="ru-RU" w:bidi="en-US"/>
        </w:rPr>
      </w:pPr>
    </w:p>
    <w:p w:rsidR="00232455" w:rsidRPr="00E8500F" w:rsidRDefault="00232455" w:rsidP="00E8500F">
      <w:pPr>
        <w:rPr>
          <w:lang w:val="en-US"/>
        </w:rPr>
      </w:pPr>
    </w:p>
    <w:sectPr w:rsidR="00232455" w:rsidRPr="00E85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3705"/>
    <w:multiLevelType w:val="singleLevel"/>
    <w:tmpl w:val="1092F092"/>
    <w:lvl w:ilvl="0">
      <w:start w:val="1"/>
      <w:numFmt w:val="bullet"/>
      <w:lvlText w:val="-"/>
      <w:lvlJc w:val="left"/>
      <w:pPr>
        <w:tabs>
          <w:tab w:val="num" w:pos="735"/>
        </w:tabs>
        <w:ind w:left="0" w:firstLine="375"/>
      </w:pPr>
      <w:rPr>
        <w:rFonts w:hint="default"/>
      </w:rPr>
    </w:lvl>
  </w:abstractNum>
  <w:abstractNum w:abstractNumId="1" w15:restartNumberingAfterBreak="0">
    <w:nsid w:val="396A601E"/>
    <w:multiLevelType w:val="singleLevel"/>
    <w:tmpl w:val="1092F092"/>
    <w:lvl w:ilvl="0">
      <w:start w:val="1"/>
      <w:numFmt w:val="bullet"/>
      <w:lvlText w:val="-"/>
      <w:lvlJc w:val="left"/>
      <w:pPr>
        <w:tabs>
          <w:tab w:val="num" w:pos="735"/>
        </w:tabs>
        <w:ind w:left="0" w:firstLine="37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0F"/>
    <w:rsid w:val="00232455"/>
    <w:rsid w:val="002A2772"/>
    <w:rsid w:val="002E0C5B"/>
    <w:rsid w:val="005B3654"/>
    <w:rsid w:val="00BB42E1"/>
    <w:rsid w:val="00E8500F"/>
    <w:rsid w:val="00EF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9A3F"/>
  <w15:chartTrackingRefBased/>
  <w15:docId w15:val="{05B3ADDA-8A1F-49E2-8DFD-CE993978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500F"/>
    <w:pPr>
      <w:keepNext/>
      <w:widowControl w:val="0"/>
      <w:spacing w:after="0" w:line="240" w:lineRule="auto"/>
      <w:jc w:val="center"/>
      <w:outlineLvl w:val="0"/>
    </w:pPr>
    <w:rPr>
      <w:rFonts w:ascii="Tahoma" w:eastAsia="Times New Roman" w:hAnsi="Tahoma" w:cs="Times New Roman"/>
      <w:b/>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00F"/>
    <w:rPr>
      <w:rFonts w:ascii="Tahoma" w:eastAsia="Times New Roman" w:hAnsi="Tahoma" w:cs="Times New Roman"/>
      <w:b/>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934219">
      <w:bodyDiv w:val="1"/>
      <w:marLeft w:val="0"/>
      <w:marRight w:val="0"/>
      <w:marTop w:val="0"/>
      <w:marBottom w:val="0"/>
      <w:divBdr>
        <w:top w:val="none" w:sz="0" w:space="0" w:color="auto"/>
        <w:left w:val="none" w:sz="0" w:space="0" w:color="auto"/>
        <w:bottom w:val="none" w:sz="0" w:space="0" w:color="auto"/>
        <w:right w:val="none" w:sz="0" w:space="0" w:color="auto"/>
      </w:divBdr>
      <w:divsChild>
        <w:div w:id="42901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Анна Юрьевна</dc:creator>
  <cp:keywords/>
  <dc:description/>
  <cp:lastModifiedBy>Владимирова Анна Юрьевна</cp:lastModifiedBy>
  <cp:revision>5</cp:revision>
  <dcterms:created xsi:type="dcterms:W3CDTF">2022-10-06T08:08:00Z</dcterms:created>
  <dcterms:modified xsi:type="dcterms:W3CDTF">2022-10-13T12:11:00Z</dcterms:modified>
</cp:coreProperties>
</file>